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F9" w:rsidRDefault="0061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АНАЛИТИЧЕСКИЙ </w:t>
      </w:r>
      <w:r>
        <w:rPr>
          <w:rFonts w:ascii="Times New Roman" w:eastAsia="Times New Roman" w:hAnsi="Times New Roman" w:cs="Times New Roman"/>
          <w:b/>
          <w:sz w:val="28"/>
        </w:rPr>
        <w:t xml:space="preserve">ОТЧЕТ </w:t>
      </w:r>
    </w:p>
    <w:p w:rsidR="00D66AF9" w:rsidRDefault="0061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работе с обращениями граждан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Чистопольском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муниципальном районе Республики Татарстан за период с 01.01.2024 по 30.09.2024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bookmarkStart w:id="0" w:name="_GoBack"/>
      <w:bookmarkEnd w:id="0"/>
    </w:p>
    <w:p w:rsidR="00D66AF9" w:rsidRDefault="00D6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6AF9" w:rsidRDefault="006167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течение указанного периода </w:t>
      </w:r>
      <w:r w:rsidR="00AB49F0">
        <w:rPr>
          <w:rFonts w:ascii="Times New Roman" w:eastAsia="Times New Roman" w:hAnsi="Times New Roman" w:cs="Times New Roman"/>
          <w:color w:val="000000"/>
          <w:sz w:val="28"/>
        </w:rPr>
        <w:t xml:space="preserve">поступило </w:t>
      </w:r>
      <w:r w:rsidR="00AB49F0">
        <w:rPr>
          <w:rFonts w:ascii="Times New Roman" w:eastAsia="Times New Roman" w:hAnsi="Times New Roman" w:cs="Times New Roman"/>
          <w:b/>
          <w:color w:val="000000"/>
          <w:sz w:val="28"/>
        </w:rPr>
        <w:t>994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обращения, что на </w:t>
      </w:r>
      <w:r w:rsidR="00556E75">
        <w:rPr>
          <w:rFonts w:ascii="Times New Roman" w:eastAsia="Times New Roman" w:hAnsi="Times New Roman" w:cs="Times New Roman"/>
          <w:sz w:val="28"/>
        </w:rPr>
        <w:t>10,6</w:t>
      </w:r>
      <w:r w:rsidRPr="00EC73D2">
        <w:rPr>
          <w:rFonts w:ascii="Times New Roman" w:eastAsia="Times New Roman" w:hAnsi="Times New Roman" w:cs="Times New Roman"/>
          <w:sz w:val="28"/>
        </w:rPr>
        <w:t>% больше, чем в аналогичный период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2023 года (</w:t>
      </w:r>
      <w:r>
        <w:rPr>
          <w:rFonts w:ascii="Times New Roman" w:eastAsia="Times New Roman" w:hAnsi="Times New Roman" w:cs="Times New Roman"/>
          <w:b/>
          <w:i/>
          <w:sz w:val="28"/>
        </w:rPr>
        <w:t>888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обращение).</w:t>
      </w:r>
    </w:p>
    <w:p w:rsidR="00D66AF9" w:rsidRDefault="00616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 них </w:t>
      </w:r>
      <w:r w:rsidRPr="00AB49F0">
        <w:rPr>
          <w:rFonts w:ascii="Times New Roman" w:eastAsia="Times New Roman" w:hAnsi="Times New Roman" w:cs="Times New Roman"/>
          <w:b/>
          <w:i/>
          <w:color w:val="000000"/>
          <w:sz w:val="28"/>
        </w:rPr>
        <w:t>734</w:t>
      </w:r>
      <w:r w:rsidR="00270288" w:rsidRPr="00AB49F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270288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электронных обращений, </w:t>
      </w:r>
      <w:r w:rsidRPr="00AB49F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85 </w:t>
      </w:r>
      <w:r w:rsidR="00270288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бумажном </w:t>
      </w:r>
      <w:proofErr w:type="gramStart"/>
      <w:r w:rsidR="00AB49F0">
        <w:rPr>
          <w:rFonts w:ascii="Times New Roman" w:eastAsia="Times New Roman" w:hAnsi="Times New Roman" w:cs="Times New Roman"/>
          <w:color w:val="000000"/>
          <w:sz w:val="28"/>
        </w:rPr>
        <w:t xml:space="preserve">носителе,  </w:t>
      </w:r>
      <w:r w:rsidR="007C36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  <w:r w:rsidR="007C36AF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175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устных.</w:t>
      </w:r>
    </w:p>
    <w:p w:rsidR="00D66AF9" w:rsidRDefault="006167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личном приеме</w:t>
      </w:r>
      <w:r>
        <w:rPr>
          <w:rFonts w:ascii="Times New Roman" w:eastAsia="Times New Roman" w:hAnsi="Times New Roman" w:cs="Times New Roman"/>
          <w:sz w:val="28"/>
        </w:rPr>
        <w:t xml:space="preserve"> в отчетном периоде Главой Чистопольского муниципального района и Руководителем Исполнительного комитета Чистопольского муниципального района принято </w:t>
      </w:r>
      <w:r>
        <w:rPr>
          <w:rFonts w:ascii="Times New Roman" w:eastAsia="Times New Roman" w:hAnsi="Times New Roman" w:cs="Times New Roman"/>
          <w:b/>
          <w:i/>
          <w:sz w:val="28"/>
        </w:rPr>
        <w:t>175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граждан, </w:t>
      </w:r>
      <w:r w:rsidR="00556E75" w:rsidRPr="00556E75">
        <w:rPr>
          <w:rFonts w:ascii="Times New Roman" w:eastAsia="Times New Roman" w:hAnsi="Times New Roman" w:cs="Times New Roman"/>
          <w:sz w:val="28"/>
        </w:rPr>
        <w:t xml:space="preserve">что </w:t>
      </w:r>
      <w:r w:rsidR="00270288" w:rsidRPr="00556E75">
        <w:rPr>
          <w:rFonts w:ascii="Times New Roman" w:eastAsia="Times New Roman" w:hAnsi="Times New Roman" w:cs="Times New Roman"/>
          <w:sz w:val="28"/>
        </w:rPr>
        <w:t>на 68</w:t>
      </w:r>
      <w:r w:rsidR="00556E75" w:rsidRPr="00556E75">
        <w:rPr>
          <w:rFonts w:ascii="Times New Roman" w:eastAsia="Times New Roman" w:hAnsi="Times New Roman" w:cs="Times New Roman"/>
          <w:sz w:val="28"/>
        </w:rPr>
        <w:t>,5</w:t>
      </w:r>
      <w:r w:rsidRPr="00556E75">
        <w:rPr>
          <w:rFonts w:ascii="Times New Roman" w:eastAsia="Times New Roman" w:hAnsi="Times New Roman" w:cs="Times New Roman"/>
          <w:sz w:val="28"/>
        </w:rPr>
        <w:t>% больше, чем в аналогичный период 2023 года.</w:t>
      </w:r>
    </w:p>
    <w:p w:rsidR="00270288" w:rsidRDefault="002702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66AF9" w:rsidRDefault="00FB43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FB433A">
        <w:rPr>
          <w:rFonts w:ascii="Times New Roman" w:eastAsia="Times New Roman" w:hAnsi="Times New Roman" w:cs="Times New Roman"/>
          <w:noProof/>
          <w:color w:val="FF0000"/>
          <w:sz w:val="28"/>
        </w:rPr>
        <w:drawing>
          <wp:inline distT="0" distB="0" distL="0" distR="0">
            <wp:extent cx="5797550" cy="3473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6AF9" w:rsidRDefault="00D66A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270288" w:rsidRPr="00270288" w:rsidRDefault="006167E4" w:rsidP="002702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Среди поступившей корреспонденции имеется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коллективных обращения (2023 г.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D66AF9" w:rsidRDefault="006167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территориальному признаку количество обращений граждан распределилось следующим образом:</w:t>
      </w:r>
    </w:p>
    <w:p w:rsidR="00D66AF9" w:rsidRDefault="006167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г. Чистополь –</w:t>
      </w:r>
      <w:r w:rsidRPr="00AB49F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B49F0">
        <w:rPr>
          <w:rFonts w:ascii="Times New Roman" w:eastAsia="Times New Roman" w:hAnsi="Times New Roman" w:cs="Times New Roman"/>
          <w:b/>
          <w:i/>
          <w:sz w:val="28"/>
        </w:rPr>
        <w:t>534</w:t>
      </w:r>
      <w:r w:rsidRPr="00AB49F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обращения;</w:t>
      </w:r>
    </w:p>
    <w:p w:rsidR="00D66AF9" w:rsidRDefault="006167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Чистопольский район – </w:t>
      </w:r>
      <w:r w:rsidRPr="00AB49F0">
        <w:rPr>
          <w:rFonts w:ascii="Times New Roman" w:eastAsia="Times New Roman" w:hAnsi="Times New Roman" w:cs="Times New Roman"/>
          <w:b/>
          <w:i/>
          <w:sz w:val="28"/>
        </w:rPr>
        <w:t xml:space="preserve">420 </w:t>
      </w:r>
      <w:r>
        <w:rPr>
          <w:rFonts w:ascii="Times New Roman" w:eastAsia="Times New Roman" w:hAnsi="Times New Roman" w:cs="Times New Roman"/>
          <w:sz w:val="28"/>
        </w:rPr>
        <w:t>обращений;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D66AF9" w:rsidRDefault="006167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из других городов – </w:t>
      </w:r>
      <w:r w:rsidRPr="00AB49F0">
        <w:rPr>
          <w:rFonts w:ascii="Times New Roman" w:eastAsia="Times New Roman" w:hAnsi="Times New Roman" w:cs="Times New Roman"/>
          <w:b/>
          <w:i/>
          <w:sz w:val="28"/>
        </w:rPr>
        <w:t>40</w:t>
      </w:r>
      <w:r>
        <w:rPr>
          <w:rFonts w:ascii="Times New Roman" w:eastAsia="Times New Roman" w:hAnsi="Times New Roman" w:cs="Times New Roman"/>
          <w:sz w:val="28"/>
        </w:rPr>
        <w:t xml:space="preserve"> обращений.</w:t>
      </w:r>
    </w:p>
    <w:p w:rsidR="00270288" w:rsidRDefault="002702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492500" cy="2209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0288" w:rsidRDefault="002702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66AF9" w:rsidRDefault="006167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0000"/>
        </w:rPr>
      </w:pPr>
      <w:r>
        <w:rPr>
          <w:rFonts w:ascii="Times New Roman" w:eastAsia="Times New Roman" w:hAnsi="Times New Roman" w:cs="Times New Roman"/>
          <w:sz w:val="28"/>
        </w:rPr>
        <w:t xml:space="preserve">Среди заявителей, указавших свою принадлежность к льготной категории, преобладают инвалиды по заболеванию, полученному в период прохождения военной службы – </w:t>
      </w:r>
      <w:r>
        <w:rPr>
          <w:rFonts w:ascii="Times New Roman" w:eastAsia="Times New Roman" w:hAnsi="Times New Roman" w:cs="Times New Roman"/>
          <w:b/>
          <w:i/>
          <w:sz w:val="28"/>
        </w:rPr>
        <w:t>4</w:t>
      </w:r>
      <w:r>
        <w:rPr>
          <w:rFonts w:ascii="Times New Roman" w:eastAsia="Times New Roman" w:hAnsi="Times New Roman" w:cs="Times New Roman"/>
          <w:i/>
          <w:sz w:val="28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воспитанники детских домов – </w:t>
      </w:r>
      <w:r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, дети-инвалиды – </w:t>
      </w:r>
      <w:r w:rsidR="00270288">
        <w:rPr>
          <w:rFonts w:ascii="Times New Roman" w:eastAsia="Times New Roman" w:hAnsi="Times New Roman" w:cs="Times New Roman"/>
          <w:b/>
          <w:i/>
          <w:sz w:val="28"/>
        </w:rPr>
        <w:t>4</w:t>
      </w:r>
      <w:r w:rsidR="00270288">
        <w:rPr>
          <w:rFonts w:ascii="Times New Roman" w:eastAsia="Times New Roman" w:hAnsi="Times New Roman" w:cs="Times New Roman"/>
          <w:sz w:val="28"/>
        </w:rPr>
        <w:t>, молодая</w:t>
      </w:r>
      <w:r>
        <w:rPr>
          <w:rFonts w:ascii="Times New Roman" w:eastAsia="Times New Roman" w:hAnsi="Times New Roman" w:cs="Times New Roman"/>
          <w:sz w:val="28"/>
        </w:rPr>
        <w:t xml:space="preserve"> се</w:t>
      </w:r>
      <w:r>
        <w:rPr>
          <w:rFonts w:ascii="Times New Roman" w:eastAsia="Times New Roman" w:hAnsi="Times New Roman" w:cs="Times New Roman"/>
          <w:sz w:val="28"/>
        </w:rPr>
        <w:t xml:space="preserve">мья – </w:t>
      </w:r>
      <w:r>
        <w:rPr>
          <w:rFonts w:ascii="Times New Roman" w:eastAsia="Times New Roman" w:hAnsi="Times New Roman" w:cs="Times New Roman"/>
          <w:b/>
          <w:i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, многодетная семья – </w:t>
      </w:r>
      <w:r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66AF9" w:rsidRDefault="006167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Социальный состав, который указали заявители: руководитель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работающий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предприниматель – </w:t>
      </w:r>
      <w:r w:rsidR="00270288">
        <w:rPr>
          <w:rFonts w:ascii="Times New Roman" w:eastAsia="Times New Roman" w:hAnsi="Times New Roman" w:cs="Times New Roman"/>
          <w:b/>
          <w:i/>
          <w:color w:val="000000"/>
          <w:sz w:val="28"/>
        </w:rPr>
        <w:t>3</w:t>
      </w:r>
      <w:r w:rsidR="00270288">
        <w:rPr>
          <w:rFonts w:ascii="Times New Roman" w:eastAsia="Times New Roman" w:hAnsi="Times New Roman" w:cs="Times New Roman"/>
          <w:color w:val="000000"/>
          <w:sz w:val="28"/>
        </w:rPr>
        <w:t>, пенсионеры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депутат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, служащий –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временно не работающий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творческая, научная интеллигенция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военнослужащий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домохозяйка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работник бюджетной сферы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религиозный сан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студент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66AF9" w:rsidRDefault="006167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Тематическая структура обращений, поступающих в адрес Главы района и Руководителя Исполнительного комитета, в целом остается традиционной, значительных изм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енений не отмечается. </w:t>
      </w:r>
    </w:p>
    <w:p w:rsidR="00D66AF9" w:rsidRDefault="006167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Вопросы по тематике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государство, общество, политика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затронуты в </w:t>
      </w:r>
      <w:r w:rsidR="00CA396B">
        <w:rPr>
          <w:rFonts w:ascii="Times New Roman" w:eastAsia="Times New Roman" w:hAnsi="Times New Roman" w:cs="Times New Roman"/>
          <w:b/>
          <w:i/>
          <w:color w:val="000000"/>
          <w:sz w:val="28"/>
        </w:rPr>
        <w:t>99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CA396B">
        <w:rPr>
          <w:rFonts w:ascii="Times New Roman" w:eastAsia="Times New Roman" w:hAnsi="Times New Roman" w:cs="Times New Roman"/>
          <w:color w:val="000000"/>
          <w:sz w:val="28"/>
        </w:rPr>
        <w:t xml:space="preserve">обращениях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(2023 г.–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). Обращения данного тематического блока в основном содержат вопросы предоставления и лишения гражданства Российской Федерации, представления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к государственным наградам, критику и благодарности в адрес должностных лиц органов государственной власти и местного самоуправления, вопросы общественных и религиозных объединений, политических партий и общественных объединений, просьбы о личном приеме вы</w:t>
      </w:r>
      <w:r>
        <w:rPr>
          <w:rFonts w:ascii="Times New Roman" w:eastAsia="Times New Roman" w:hAnsi="Times New Roman" w:cs="Times New Roman"/>
          <w:color w:val="000000"/>
          <w:sz w:val="28"/>
        </w:rPr>
        <w:t>сшими должностными лицами Республики Татарстан.</w:t>
      </w:r>
    </w:p>
    <w:p w:rsidR="00D66AF9" w:rsidRDefault="006167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Вопросы по тематике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экономика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затронуты в </w:t>
      </w:r>
      <w:r w:rsidR="00CA396B">
        <w:rPr>
          <w:rFonts w:ascii="Times New Roman" w:eastAsia="Times New Roman" w:hAnsi="Times New Roman" w:cs="Times New Roman"/>
          <w:b/>
          <w:i/>
          <w:color w:val="000000"/>
          <w:sz w:val="28"/>
        </w:rPr>
        <w:t>251</w:t>
      </w:r>
      <w:r w:rsidR="00CA39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A396B" w:rsidRPr="00CA396B">
        <w:rPr>
          <w:rFonts w:ascii="Times New Roman" w:eastAsia="Times New Roman" w:hAnsi="Times New Roman" w:cs="Times New Roman"/>
          <w:color w:val="000000"/>
          <w:sz w:val="28"/>
        </w:rPr>
        <w:t>обращении</w:t>
      </w:r>
      <w:r w:rsidRPr="00CA396B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B49F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2023г.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221</w:t>
      </w:r>
      <w:r>
        <w:rPr>
          <w:rFonts w:ascii="Times New Roman" w:eastAsia="Times New Roman" w:hAnsi="Times New Roman" w:cs="Times New Roman"/>
          <w:color w:val="000000"/>
          <w:sz w:val="28"/>
        </w:rPr>
        <w:t>). Данный блок содержит вопросы внешнеэкономической деятельности, информатизации, охраны окружающей природной среды, финансы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хозяйственная деятельность. </w:t>
      </w:r>
    </w:p>
    <w:p w:rsidR="00D66AF9" w:rsidRDefault="006167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целом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хозяйственной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посвящено </w:t>
      </w:r>
      <w:r w:rsidR="00CA396B">
        <w:rPr>
          <w:rFonts w:ascii="Times New Roman" w:eastAsia="Times New Roman" w:hAnsi="Times New Roman" w:cs="Times New Roman"/>
          <w:b/>
          <w:i/>
          <w:color w:val="000000"/>
          <w:sz w:val="28"/>
        </w:rPr>
        <w:t>200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CA396B">
        <w:rPr>
          <w:rFonts w:ascii="Times New Roman" w:eastAsia="Times New Roman" w:hAnsi="Times New Roman" w:cs="Times New Roman"/>
          <w:color w:val="000000"/>
          <w:sz w:val="28"/>
        </w:rPr>
        <w:t>обращений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Start"/>
      <w:r w:rsidR="00AB49F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AB49F0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="00AB49F0"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z w:val="28"/>
        </w:rPr>
        <w:t>г.–</w:t>
      </w:r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191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), среди которых наиболее актуальны вопросы градостроительства и архитектуры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137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270288">
        <w:rPr>
          <w:rFonts w:ascii="Times New Roman" w:eastAsia="Times New Roman" w:hAnsi="Times New Roman" w:cs="Times New Roman"/>
          <w:color w:val="000000"/>
          <w:sz w:val="28"/>
        </w:rPr>
        <w:t xml:space="preserve">транспорта – </w:t>
      </w:r>
      <w:r w:rsidR="00270288">
        <w:rPr>
          <w:rFonts w:ascii="Times New Roman" w:eastAsia="Times New Roman" w:hAnsi="Times New Roman" w:cs="Times New Roman"/>
          <w:b/>
          <w:i/>
          <w:color w:val="000000"/>
          <w:sz w:val="28"/>
        </w:rPr>
        <w:t>30</w:t>
      </w:r>
      <w:r w:rsidR="0027028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строительства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270288">
        <w:rPr>
          <w:rFonts w:ascii="Times New Roman" w:eastAsia="Times New Roman" w:hAnsi="Times New Roman" w:cs="Times New Roman"/>
          <w:color w:val="000000"/>
          <w:sz w:val="28"/>
        </w:rPr>
        <w:t xml:space="preserve">бытовое </w:t>
      </w:r>
      <w:r w:rsidR="0027028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обслуживание населения – </w:t>
      </w:r>
      <w:r w:rsidR="00270288">
        <w:rPr>
          <w:rFonts w:ascii="Times New Roman" w:eastAsia="Times New Roman" w:hAnsi="Times New Roman" w:cs="Times New Roman"/>
          <w:b/>
          <w:i/>
          <w:color w:val="000000"/>
          <w:sz w:val="28"/>
        </w:rPr>
        <w:t>7</w:t>
      </w:r>
      <w:r w:rsidR="0027028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сельского хозяйства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промышленность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торговля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общественное питание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связь </w:t>
      </w:r>
      <w:r w:rsidR="00270288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66AF9" w:rsidRDefault="006167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Проблемам, возникающим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жилищно-коммунальной сфере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посвящены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A396B">
        <w:rPr>
          <w:rFonts w:ascii="Times New Roman" w:eastAsia="Times New Roman" w:hAnsi="Times New Roman" w:cs="Times New Roman"/>
          <w:b/>
          <w:i/>
          <w:color w:val="000000"/>
          <w:sz w:val="28"/>
        </w:rPr>
        <w:t>245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B49F0">
        <w:rPr>
          <w:rFonts w:ascii="Times New Roman" w:eastAsia="Times New Roman" w:hAnsi="Times New Roman" w:cs="Times New Roman"/>
          <w:color w:val="000000"/>
          <w:sz w:val="28"/>
        </w:rPr>
        <w:t>обращений</w:t>
      </w:r>
      <w:r w:rsidRPr="00CA396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обозначенной теме занимают вопросы, связанные с оказанием содействия в обеспечении граждан жильем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76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вопросы коммунального хозяйства – </w:t>
      </w:r>
      <w:r w:rsidR="00270288">
        <w:rPr>
          <w:rFonts w:ascii="Times New Roman" w:eastAsia="Times New Roman" w:hAnsi="Times New Roman" w:cs="Times New Roman"/>
          <w:b/>
          <w:i/>
          <w:color w:val="000000"/>
          <w:sz w:val="28"/>
        </w:rPr>
        <w:t>157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жилищный фонд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общие положения жилищного законодательства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оплата строительства и содержание ремонта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жилья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66AF9" w:rsidRDefault="006167E4">
      <w:pPr>
        <w:tabs>
          <w:tab w:val="left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тематике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социальная сфера </w:t>
      </w:r>
      <w:r w:rsidR="00CA396B">
        <w:rPr>
          <w:rFonts w:ascii="Times New Roman" w:eastAsia="Times New Roman" w:hAnsi="Times New Roman" w:cs="Times New Roman"/>
          <w:color w:val="000000"/>
          <w:sz w:val="28"/>
        </w:rPr>
        <w:t xml:space="preserve">поступило </w:t>
      </w:r>
      <w:r w:rsidR="00CA396B">
        <w:rPr>
          <w:rFonts w:ascii="Times New Roman" w:eastAsia="Times New Roman" w:hAnsi="Times New Roman" w:cs="Times New Roman"/>
          <w:b/>
          <w:i/>
          <w:color w:val="000000"/>
          <w:sz w:val="28"/>
        </w:rPr>
        <w:t>85</w:t>
      </w:r>
      <w:r w:rsidR="00CA396B">
        <w:rPr>
          <w:rFonts w:ascii="Times New Roman" w:eastAsia="Times New Roman" w:hAnsi="Times New Roman" w:cs="Times New Roman"/>
          <w:color w:val="000000"/>
          <w:sz w:val="28"/>
        </w:rPr>
        <w:t xml:space="preserve"> обращений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(2023 г.–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109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), которые включают в себя вопросы образования, науки и культуры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социального обеспечения и социального страхования – </w:t>
      </w:r>
      <w:r w:rsidR="00270288">
        <w:rPr>
          <w:rFonts w:ascii="Times New Roman" w:eastAsia="Times New Roman" w:hAnsi="Times New Roman" w:cs="Times New Roman"/>
          <w:b/>
          <w:i/>
          <w:color w:val="000000"/>
          <w:sz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здравоохранения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труда и занятости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, семья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70288" w:rsidRDefault="006167E4" w:rsidP="002702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Вопросы по тематике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оборона, безопасность, законность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отражены в   </w:t>
      </w:r>
      <w:r w:rsidR="00CA396B">
        <w:rPr>
          <w:rFonts w:ascii="Times New Roman" w:eastAsia="Times New Roman" w:hAnsi="Times New Roman" w:cs="Times New Roman"/>
          <w:b/>
          <w:i/>
          <w:color w:val="000000"/>
          <w:sz w:val="28"/>
        </w:rPr>
        <w:t>114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обращениях (2023 г.–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</w:rPr>
        <w:t>). Среди них основную массу составляют заявления с обжалованиями судебных решений, жалобы на неисполнение судебных актов, а также жалобы частного характера.</w:t>
      </w:r>
    </w:p>
    <w:p w:rsidR="00270288" w:rsidRDefault="00270288" w:rsidP="002702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66AF9" w:rsidRPr="00270288" w:rsidRDefault="00CA396B" w:rsidP="002702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36AF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752" behindDoc="1" locked="0" layoutInCell="1" allowOverlap="1" wp14:anchorId="10CD65D9" wp14:editId="32C8FE10">
            <wp:simplePos x="0" y="0"/>
            <wp:positionH relativeFrom="column">
              <wp:posOffset>361315</wp:posOffset>
            </wp:positionH>
            <wp:positionV relativeFrom="paragraph">
              <wp:posOffset>-2540</wp:posOffset>
            </wp:positionV>
            <wp:extent cx="5486400" cy="3524250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6167E4">
        <w:rPr>
          <w:rFonts w:ascii="Times New Roman" w:eastAsia="Times New Roman" w:hAnsi="Times New Roman" w:cs="Times New Roman"/>
          <w:sz w:val="28"/>
        </w:rPr>
        <w:t xml:space="preserve"> Все поступившие обращения граждан рассматриваются в сроки, установленные Федеральным законом от 2 мая 2006 г.  59-ФЗ «О порядке рассмотрения обращений граждан Российской Федерации».</w:t>
      </w:r>
    </w:p>
    <w:p w:rsidR="00D66AF9" w:rsidRDefault="00D66A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66AF9" w:rsidRDefault="00D66AF9">
      <w:pPr>
        <w:spacing w:after="200" w:line="276" w:lineRule="auto"/>
        <w:rPr>
          <w:rFonts w:ascii="Calibri" w:eastAsia="Calibri" w:hAnsi="Calibri" w:cs="Calibri"/>
        </w:rPr>
      </w:pPr>
    </w:p>
    <w:sectPr w:rsidR="00D6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F9"/>
    <w:rsid w:val="00270288"/>
    <w:rsid w:val="00556E75"/>
    <w:rsid w:val="006167E4"/>
    <w:rsid w:val="007C36AF"/>
    <w:rsid w:val="00AB49F0"/>
    <w:rsid w:val="00CA396B"/>
    <w:rsid w:val="00D66AF9"/>
    <w:rsid w:val="00EC73D2"/>
    <w:rsid w:val="00F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2D7D"/>
  <w15:docId w15:val="{4E55C53E-B63B-45E4-A66D-45015F6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jpeg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Поступившие обращения за 2024 год</a:t>
            </a:r>
          </a:p>
          <a:p>
            <a:pPr>
              <a:defRPr/>
            </a:pPr>
            <a:endParaRPr lang="ru-RU"/>
          </a:p>
        </c:rich>
      </c:tx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702-4380-AC01-646C05754E2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702-4380-AC01-646C05754E2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702-4380-AC01-646C05754E2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702-4380-AC01-646C05754E2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6702-4380-AC01-646C05754E20}"/>
              </c:ext>
            </c:extLst>
          </c:dPt>
          <c:dLbls>
            <c:dLbl>
              <c:idx val="0"/>
              <c:layout>
                <c:manualLayout>
                  <c:x val="0.35816017789442989"/>
                  <c:y val="4.7155043119610121E-2"/>
                </c:manualLayout>
              </c:layout>
              <c:tx>
                <c:rich>
                  <a:bodyPr/>
                  <a:lstStyle/>
                  <a:p>
                    <a:fld id="{3B2BF555-BA68-423E-A43A-03743BCDF1E6}" type="CATEGORYNAME">
                      <a:rPr lang="ru-RU" b="1" i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 b="1" i="1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E2DC0D4D-87BD-4652-AE75-E09A0E1ECC4E}" type="PERCENTAGE">
                      <a:rPr lang="ru-RU" b="1" i="1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endParaRPr lang="ru-RU" b="1" i="1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702-4380-AC01-646C05754E20}"/>
                </c:ext>
              </c:extLst>
            </c:dLbl>
            <c:dLbl>
              <c:idx val="1"/>
              <c:layout>
                <c:manualLayout>
                  <c:x val="8.3310002916302126E-2"/>
                  <c:y val="8.95716160479939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1" u="none" strike="noStrike" kern="1200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26D439B-738E-40F3-82AF-6D2E3988F202}" type="CATEGORYNAME">
                      <a:rPr lang="ru-RU" b="1" i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b="1" i="1">
                          <a:solidFill>
                            <a:srgbClr val="FF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
</a:t>
                    </a:r>
                    <a:fld id="{245514B7-9D56-4D6C-AD75-8A089B850827}" type="PERCENTAGE">
                      <a:rPr lang="ru-RU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pPr>
                        <a:defRPr b="1" i="1">
                          <a:solidFill>
                            <a:srgbClr val="FF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endParaRPr>
                  </a:p>
                </c:rich>
              </c:tx>
              <c:spPr>
                <a:solidFill>
                  <a:schemeClr val="accent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1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1574074074074"/>
                      <c:h val="0.198551743532058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702-4380-AC01-646C05754E20}"/>
                </c:ext>
              </c:extLst>
            </c:dLbl>
            <c:dLbl>
              <c:idx val="2"/>
              <c:layout>
                <c:manualLayout>
                  <c:x val="-0.65595417760279962"/>
                  <c:y val="0.25617266591676041"/>
                </c:manualLayout>
              </c:layout>
              <c:tx>
                <c:rich>
                  <a:bodyPr/>
                  <a:lstStyle/>
                  <a:p>
                    <a:fld id="{63F15AEF-C1B2-4B98-AE25-407622118338}" type="CATEGORYNAME">
                      <a:rPr lang="ru-RU" b="1" i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 b="1" i="1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D3EC449D-CFE3-49A9-B3CC-71FDA59E1C53}" type="PERCENTAGE">
                      <a:rPr lang="ru-RU" b="1" i="1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endParaRPr lang="ru-RU" b="1" i="1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702-4380-AC01-646C05754E2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103D484-093F-4131-82C3-7AAA24DF69B9}" type="CATEGORYNAME">
                      <a:rPr lang="ru-RU" b="1" i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pPr/>
                      <a:t>[ИМЯ КАТЕГОРИИ]</a:t>
                    </a:fld>
                    <a:r>
                      <a:rPr lang="ru-RU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
</a:t>
                    </a:r>
                    <a:fld id="{6EF0004D-B38C-4AEE-A90A-2E642FEE5753}" type="PERCENTAGE">
                      <a:rPr lang="ru-RU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pPr/>
                      <a:t>[ПРОЦЕНТ]</a:t>
                    </a:fld>
                    <a:endParaRPr lang="ru-RU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endParaRP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702-4380-AC01-646C05754E2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02-4380-AC01-646C05754E20}"/>
                </c:ext>
              </c:extLst>
            </c:dLbl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Электронные обращения</c:v>
                </c:pt>
                <c:pt idx="1">
                  <c:v>Бумажные обращения</c:v>
                </c:pt>
                <c:pt idx="2">
                  <c:v>Устные обращения</c:v>
                </c:pt>
                <c:pt idx="3">
                  <c:v>Всего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734</c:v>
                </c:pt>
                <c:pt idx="1">
                  <c:v>85</c:v>
                </c:pt>
                <c:pt idx="2">
                  <c:v>175</c:v>
                </c:pt>
                <c:pt idx="3">
                  <c:v>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02-4380-AC01-646C05754E20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lt1">
                  <a:lumMod val="95000"/>
                  <a:alpha val="54000"/>
                </a:schemeClr>
              </a:solidFill>
              <a:round/>
            </a:ln>
            <a:effectLst/>
          </c:spPr>
        </c:serLines>
      </c:ofPieChart>
      <c:spPr>
        <a:pattFill prst="diagBrick">
          <a:fgClr>
            <a:schemeClr val="accent1"/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3"/>
      <a:tile tx="0" ty="0" sx="100000" sy="100000" flip="none" algn="tl"/>
    </a:blipFill>
    <a:ln>
      <a:noFill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 Чистополь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F7-44B5-89A2-51B4AC0F18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Чистопольский район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F7-44B5-89A2-51B4AC0F18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Другие города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F7-44B5-89A2-51B4AC0F1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8699296"/>
        <c:axId val="508707496"/>
      </c:barChart>
      <c:catAx>
        <c:axId val="50869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707496"/>
        <c:crosses val="autoZero"/>
        <c:auto val="1"/>
        <c:lblAlgn val="ctr"/>
        <c:lblOffset val="100"/>
        <c:noMultiLvlLbl val="0"/>
      </c:catAx>
      <c:valAx>
        <c:axId val="508707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69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756-417F-8B19-9B986ECE95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6756-417F-8B19-9B986ECE95D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756-417F-8B19-9B986ECE95D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6756-417F-8B19-9B986ECE95D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756-417F-8B19-9B986ECE95D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6756-417F-8B19-9B986ECE95D6}"/>
              </c:ext>
            </c:extLst>
          </c:dPt>
          <c:dLbls>
            <c:dLbl>
              <c:idx val="0"/>
              <c:layout>
                <c:manualLayout>
                  <c:x val="-4.2757728200641588E-2"/>
                  <c:y val="4.5400574928133701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56-417F-8B19-9B986ECE95D6}"/>
                </c:ext>
              </c:extLst>
            </c:dLbl>
            <c:dLbl>
              <c:idx val="4"/>
              <c:layout>
                <c:manualLayout>
                  <c:x val="7.5056321084864389E-2"/>
                  <c:y val="3.6829771278590176E-2"/>
                </c:manualLayout>
              </c:layout>
              <c:spPr>
                <a:solidFill>
                  <a:schemeClr val="accent1">
                    <a:lumMod val="60000"/>
                    <a:lumOff val="40000"/>
                  </a:schemeClr>
                </a:solidFill>
                <a:ln w="1270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1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56-417F-8B19-9B986ECE95D6}"/>
                </c:ext>
              </c:extLst>
            </c:dLbl>
            <c:dLbl>
              <c:idx val="5"/>
              <c:layout>
                <c:manualLayout>
                  <c:x val="9.4329979585885085E-2"/>
                  <c:y val="2.039745031871011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1" u="none" strike="noStrike" kern="1200" baseline="0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7AB7A6E-9551-44E5-B618-DB6550D0CDE7}" type="CATEGORYNAME">
                      <a:rPr lang="ru-RU" sz="800" b="1" i="1"/>
                      <a:pPr>
                        <a:defRPr b="1" i="1">
                          <a:solidFill>
                            <a:schemeClr val="dk1"/>
                          </a:solidFill>
                        </a:defRPr>
                      </a:pPr>
                      <a:t>[ИМЯ КАТЕГОРИИ]</a:t>
                    </a:fld>
                    <a:r>
                      <a:rPr lang="ru-RU" b="1" i="1" baseline="0"/>
                      <a:t>
</a:t>
                    </a:r>
                    <a:fld id="{0B970201-0CEE-437D-8DF7-6341D3226217}" type="PERCENTAGE">
                      <a:rPr lang="ru-RU" b="1" i="1" baseline="0"/>
                      <a:pPr>
                        <a:defRPr b="1" i="1">
                          <a:solidFill>
                            <a:schemeClr val="dk1"/>
                          </a:solidFill>
                        </a:defRPr>
                      </a:pPr>
                      <a:t>[ПРОЦЕНТ]</a:t>
                    </a:fld>
                    <a:endParaRPr lang="ru-RU" b="1" i="1" baseline="0"/>
                  </a:p>
                </c:rich>
              </c:tx>
              <c:spPr>
                <a:solidFill>
                  <a:schemeClr val="accent1">
                    <a:lumMod val="60000"/>
                    <a:lumOff val="40000"/>
                  </a:schemeClr>
                </a:solidFill>
                <a:ln w="1270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1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41666666666663"/>
                      <c:h val="0.190238095238095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756-417F-8B19-9B986ECE95D6}"/>
                </c:ext>
              </c:extLst>
            </c:dLbl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accent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Государство, общество, политика</c:v>
                </c:pt>
                <c:pt idx="1">
                  <c:v>Экономика</c:v>
                </c:pt>
                <c:pt idx="2">
                  <c:v>Хозяйственная деятельность</c:v>
                </c:pt>
                <c:pt idx="3">
                  <c:v>Жилищно-коммунальная сфера</c:v>
                </c:pt>
                <c:pt idx="4">
                  <c:v>Социальная сфера</c:v>
                </c:pt>
                <c:pt idx="5">
                  <c:v>Оброна, безопасноть,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</c:v>
                </c:pt>
                <c:pt idx="1">
                  <c:v>251</c:v>
                </c:pt>
                <c:pt idx="2">
                  <c:v>200</c:v>
                </c:pt>
                <c:pt idx="3">
                  <c:v>245</c:v>
                </c:pt>
                <c:pt idx="4">
                  <c:v>85</c:v>
                </c:pt>
                <c:pt idx="5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6-417F-8B19-9B986ECE95D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454687955672198E-2"/>
          <c:y val="0.80135007448393281"/>
          <c:w val="0.90792395742198895"/>
          <c:h val="0.177028303894445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2024-10-11T06:22:00Z</cp:lastPrinted>
  <dcterms:created xsi:type="dcterms:W3CDTF">2024-10-11T08:11:00Z</dcterms:created>
  <dcterms:modified xsi:type="dcterms:W3CDTF">2024-10-11T08:11:00Z</dcterms:modified>
</cp:coreProperties>
</file>